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6" w:rsidRDefault="008E4734" w:rsidP="008E4734">
      <w:pPr>
        <w:spacing w:after="3"/>
      </w:pPr>
      <w:r>
        <w:rPr>
          <w:color w:val="181717"/>
          <w:sz w:val="28"/>
        </w:rPr>
        <w:t xml:space="preserve">                                                                                       Educational Options</w:t>
      </w:r>
    </w:p>
    <w:p w:rsidR="00133206" w:rsidRDefault="008E4734" w:rsidP="008E4734">
      <w:pPr>
        <w:spacing w:after="3"/>
        <w:ind w:left="5497"/>
      </w:pPr>
      <w:r>
        <w:rPr>
          <w:color w:val="181717"/>
          <w:sz w:val="28"/>
        </w:rPr>
        <w:t>Assessment Plan 2018-19</w:t>
      </w:r>
    </w:p>
    <w:tbl>
      <w:tblPr>
        <w:tblStyle w:val="TableGrid"/>
        <w:tblW w:w="13406" w:type="dxa"/>
        <w:tblInd w:w="5" w:type="dxa"/>
        <w:tblCellMar>
          <w:top w:w="41" w:type="dxa"/>
          <w:left w:w="110" w:type="dxa"/>
          <w:right w:w="62" w:type="dxa"/>
        </w:tblCellMar>
        <w:tblLook w:val="04A0" w:firstRow="1" w:lastRow="0" w:firstColumn="1" w:lastColumn="0" w:noHBand="0" w:noVBand="1"/>
      </w:tblPr>
      <w:tblGrid>
        <w:gridCol w:w="1719"/>
        <w:gridCol w:w="1584"/>
        <w:gridCol w:w="1240"/>
        <w:gridCol w:w="3507"/>
        <w:gridCol w:w="3757"/>
        <w:gridCol w:w="1599"/>
      </w:tblGrid>
      <w:tr w:rsidR="00133206">
        <w:trPr>
          <w:trHeight w:val="499"/>
        </w:trPr>
        <w:tc>
          <w:tcPr>
            <w:tcW w:w="1747" w:type="dxa"/>
            <w:tcBorders>
              <w:top w:val="single" w:sz="4" w:space="0" w:color="181717"/>
              <w:left w:val="single" w:sz="4" w:space="0" w:color="181717"/>
              <w:bottom w:val="single" w:sz="4" w:space="0" w:color="181717"/>
              <w:right w:val="single" w:sz="4" w:space="0" w:color="181717"/>
            </w:tcBorders>
          </w:tcPr>
          <w:p w:rsidR="00133206" w:rsidRDefault="008E4734">
            <w:pPr>
              <w:ind w:right="44"/>
              <w:jc w:val="center"/>
            </w:pPr>
            <w:r>
              <w:rPr>
                <w:b/>
                <w:color w:val="181717"/>
                <w:sz w:val="20"/>
              </w:rPr>
              <w:t xml:space="preserve">Assessment </w:t>
            </w:r>
          </w:p>
        </w:tc>
        <w:tc>
          <w:tcPr>
            <w:tcW w:w="1142" w:type="dxa"/>
            <w:tcBorders>
              <w:top w:val="single" w:sz="4" w:space="0" w:color="181717"/>
              <w:left w:val="single" w:sz="4" w:space="0" w:color="181717"/>
              <w:bottom w:val="single" w:sz="4" w:space="0" w:color="181717"/>
              <w:right w:val="single" w:sz="4" w:space="0" w:color="181717"/>
            </w:tcBorders>
          </w:tcPr>
          <w:p w:rsidR="00133206" w:rsidRDefault="008E4734">
            <w:pPr>
              <w:jc w:val="center"/>
            </w:pPr>
            <w:r>
              <w:rPr>
                <w:b/>
                <w:color w:val="181717"/>
                <w:sz w:val="20"/>
              </w:rPr>
              <w:t xml:space="preserve">Intended For </w:t>
            </w:r>
          </w:p>
        </w:tc>
        <w:tc>
          <w:tcPr>
            <w:tcW w:w="1248" w:type="dxa"/>
            <w:tcBorders>
              <w:top w:val="single" w:sz="4" w:space="0" w:color="181717"/>
              <w:left w:val="single" w:sz="4" w:space="0" w:color="181717"/>
              <w:bottom w:val="single" w:sz="4" w:space="0" w:color="181717"/>
              <w:right w:val="single" w:sz="4" w:space="0" w:color="181717"/>
            </w:tcBorders>
          </w:tcPr>
          <w:p w:rsidR="00133206" w:rsidRDefault="008E4734">
            <w:pPr>
              <w:ind w:right="52"/>
              <w:jc w:val="center"/>
            </w:pPr>
            <w:r>
              <w:rPr>
                <w:b/>
                <w:color w:val="181717"/>
                <w:sz w:val="20"/>
              </w:rPr>
              <w:t xml:space="preserve">Type </w:t>
            </w:r>
          </w:p>
        </w:tc>
        <w:tc>
          <w:tcPr>
            <w:tcW w:w="3686" w:type="dxa"/>
            <w:tcBorders>
              <w:top w:val="single" w:sz="4" w:space="0" w:color="181717"/>
              <w:left w:val="single" w:sz="4" w:space="0" w:color="181717"/>
              <w:bottom w:val="single" w:sz="4" w:space="0" w:color="181717"/>
              <w:right w:val="single" w:sz="4" w:space="0" w:color="181717"/>
            </w:tcBorders>
          </w:tcPr>
          <w:p w:rsidR="00133206" w:rsidRDefault="008E4734">
            <w:pPr>
              <w:ind w:right="46"/>
              <w:jc w:val="center"/>
            </w:pPr>
            <w:r>
              <w:rPr>
                <w:b/>
                <w:color w:val="181717"/>
                <w:sz w:val="20"/>
              </w:rPr>
              <w:t xml:space="preserve">Description </w:t>
            </w:r>
          </w:p>
        </w:tc>
        <w:tc>
          <w:tcPr>
            <w:tcW w:w="3960" w:type="dxa"/>
            <w:tcBorders>
              <w:top w:val="single" w:sz="4" w:space="0" w:color="181717"/>
              <w:left w:val="single" w:sz="4" w:space="0" w:color="181717"/>
              <w:bottom w:val="single" w:sz="4" w:space="0" w:color="181717"/>
              <w:right w:val="single" w:sz="4" w:space="0" w:color="181717"/>
            </w:tcBorders>
          </w:tcPr>
          <w:p w:rsidR="00133206" w:rsidRDefault="008E4734">
            <w:pPr>
              <w:ind w:right="38"/>
              <w:jc w:val="center"/>
            </w:pPr>
            <w:r>
              <w:rPr>
                <w:b/>
                <w:color w:val="181717"/>
                <w:sz w:val="20"/>
              </w:rPr>
              <w:t xml:space="preserve">Purpose Use </w:t>
            </w:r>
          </w:p>
        </w:tc>
        <w:tc>
          <w:tcPr>
            <w:tcW w:w="1622" w:type="dxa"/>
            <w:tcBorders>
              <w:top w:val="single" w:sz="4" w:space="0" w:color="181717"/>
              <w:left w:val="single" w:sz="4" w:space="0" w:color="181717"/>
              <w:bottom w:val="single" w:sz="4" w:space="0" w:color="181717"/>
              <w:right w:val="single" w:sz="4" w:space="0" w:color="181717"/>
            </w:tcBorders>
          </w:tcPr>
          <w:p w:rsidR="00133206" w:rsidRDefault="008E4734">
            <w:pPr>
              <w:ind w:right="46"/>
              <w:jc w:val="center"/>
            </w:pPr>
            <w:r>
              <w:rPr>
                <w:b/>
                <w:color w:val="181717"/>
                <w:sz w:val="20"/>
              </w:rPr>
              <w:t xml:space="preserve">Administered </w:t>
            </w:r>
          </w:p>
        </w:tc>
      </w:tr>
      <w:tr w:rsidR="00133206">
        <w:trPr>
          <w:trHeight w:val="2203"/>
        </w:trPr>
        <w:tc>
          <w:tcPr>
            <w:tcW w:w="1747"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right="36"/>
              <w:jc w:val="center"/>
            </w:pPr>
            <w:r>
              <w:rPr>
                <w:color w:val="181717"/>
                <w:sz w:val="20"/>
              </w:rPr>
              <w:t xml:space="preserve">AZMERIT </w:t>
            </w:r>
          </w:p>
        </w:tc>
        <w:tc>
          <w:tcPr>
            <w:tcW w:w="1142"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after="5" w:line="234" w:lineRule="auto"/>
            </w:pPr>
            <w:r>
              <w:rPr>
                <w:color w:val="181717"/>
                <w:sz w:val="20"/>
              </w:rPr>
              <w:t xml:space="preserve">All high school </w:t>
            </w:r>
          </w:p>
          <w:p w:rsidR="005911F1" w:rsidRDefault="008E4734" w:rsidP="00F04FCE">
            <w:pPr>
              <w:ind w:left="5" w:firstLine="5"/>
              <w:rPr>
                <w:color w:val="181717"/>
                <w:sz w:val="20"/>
              </w:rPr>
            </w:pPr>
            <w:r>
              <w:rPr>
                <w:color w:val="181717"/>
                <w:sz w:val="20"/>
              </w:rPr>
              <w:t>students in S</w:t>
            </w:r>
            <w:r w:rsidR="005911F1">
              <w:rPr>
                <w:color w:val="181717"/>
                <w:sz w:val="20"/>
              </w:rPr>
              <w:t>emester</w:t>
            </w:r>
            <w:r>
              <w:rPr>
                <w:color w:val="181717"/>
                <w:sz w:val="20"/>
              </w:rPr>
              <w:t>2 Courses</w:t>
            </w:r>
          </w:p>
          <w:p w:rsidR="00133206" w:rsidRDefault="005911F1" w:rsidP="00F04FCE">
            <w:pPr>
              <w:ind w:left="5" w:firstLine="5"/>
            </w:pPr>
            <w:r>
              <w:rPr>
                <w:color w:val="181717"/>
                <w:sz w:val="20"/>
              </w:rPr>
              <w:t>(Semester 1 and summer limited testing)</w:t>
            </w:r>
            <w:r w:rsidR="008E4734">
              <w:rPr>
                <w:color w:val="181717"/>
                <w:sz w:val="20"/>
              </w:rPr>
              <w:t xml:space="preserve"> </w:t>
            </w:r>
          </w:p>
        </w:tc>
        <w:tc>
          <w:tcPr>
            <w:tcW w:w="1248"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left="53"/>
            </w:pPr>
            <w:r>
              <w:rPr>
                <w:color w:val="181717"/>
                <w:sz w:val="20"/>
              </w:rPr>
              <w:t xml:space="preserve">Summative </w:t>
            </w:r>
          </w:p>
        </w:tc>
        <w:tc>
          <w:tcPr>
            <w:tcW w:w="3686"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after="5" w:line="234" w:lineRule="auto"/>
            </w:pPr>
            <w:r>
              <w:rPr>
                <w:color w:val="181717"/>
                <w:sz w:val="20"/>
              </w:rPr>
              <w:t>AZMERIT Assessments are standard</w:t>
            </w:r>
            <w:r w:rsidR="005911F1">
              <w:rPr>
                <w:color w:val="181717"/>
                <w:sz w:val="20"/>
              </w:rPr>
              <w:t xml:space="preserve">s </w:t>
            </w:r>
            <w:r>
              <w:rPr>
                <w:color w:val="181717"/>
                <w:sz w:val="20"/>
              </w:rPr>
              <w:t xml:space="preserve">based, criterion-referenced, end of course </w:t>
            </w:r>
          </w:p>
          <w:p w:rsidR="00133206" w:rsidRDefault="008E4734" w:rsidP="00F04FCE">
            <w:pPr>
              <w:spacing w:line="239" w:lineRule="auto"/>
            </w:pPr>
            <w:r>
              <w:rPr>
                <w:color w:val="181717"/>
                <w:sz w:val="20"/>
              </w:rPr>
              <w:t xml:space="preserve">or year assessments designed to assess proficiency in specific subject areas, </w:t>
            </w:r>
          </w:p>
          <w:p w:rsidR="00133206" w:rsidRDefault="008E4734" w:rsidP="00F04FCE">
            <w:pPr>
              <w:ind w:right="52"/>
            </w:pPr>
            <w:r>
              <w:rPr>
                <w:color w:val="181717"/>
                <w:sz w:val="20"/>
              </w:rPr>
              <w:t xml:space="preserve">providing students, parents, educations </w:t>
            </w:r>
          </w:p>
          <w:p w:rsidR="00133206" w:rsidRDefault="008E4734" w:rsidP="00F04FCE">
            <w:pPr>
              <w:spacing w:line="239" w:lineRule="auto"/>
            </w:pPr>
            <w:r>
              <w:rPr>
                <w:color w:val="181717"/>
                <w:sz w:val="20"/>
              </w:rPr>
              <w:t xml:space="preserve">and stake-holders with an understanding of student and school performance </w:t>
            </w:r>
          </w:p>
          <w:p w:rsidR="00133206" w:rsidRDefault="008E4734" w:rsidP="00F04FCE">
            <w:r>
              <w:rPr>
                <w:color w:val="181717"/>
                <w:sz w:val="20"/>
              </w:rPr>
              <w:t xml:space="preserve">related to the attainment of proficiency of the academic standards. </w:t>
            </w:r>
          </w:p>
        </w:tc>
        <w:tc>
          <w:tcPr>
            <w:tcW w:w="3960" w:type="dxa"/>
            <w:tcBorders>
              <w:top w:val="single" w:sz="4" w:space="0" w:color="181717"/>
              <w:left w:val="single" w:sz="4" w:space="0" w:color="181717"/>
              <w:bottom w:val="single" w:sz="4" w:space="0" w:color="181717"/>
              <w:right w:val="single" w:sz="4" w:space="0" w:color="181717"/>
            </w:tcBorders>
            <w:vAlign w:val="center"/>
          </w:tcPr>
          <w:p w:rsidR="00133206" w:rsidRDefault="008E4734" w:rsidP="00F04FCE">
            <w:pPr>
              <w:spacing w:line="239" w:lineRule="auto"/>
              <w:ind w:left="31" w:hanging="31"/>
            </w:pPr>
            <w:r>
              <w:rPr>
                <w:color w:val="181717"/>
                <w:sz w:val="20"/>
              </w:rPr>
              <w:t xml:space="preserve">Assessment data can be used by teachers to improve courses, and differentiated </w:t>
            </w:r>
          </w:p>
          <w:p w:rsidR="00133206" w:rsidRDefault="008E4734" w:rsidP="00F04FCE">
            <w:pPr>
              <w:ind w:left="31" w:right="40" w:hanging="31"/>
            </w:pPr>
            <w:r>
              <w:rPr>
                <w:color w:val="181717"/>
                <w:sz w:val="20"/>
              </w:rPr>
              <w:t xml:space="preserve">instruction opportunities.  Parents and </w:t>
            </w:r>
          </w:p>
          <w:p w:rsidR="00133206" w:rsidRDefault="008E4734" w:rsidP="00F04FCE">
            <w:pPr>
              <w:ind w:left="31" w:right="43" w:hanging="31"/>
            </w:pPr>
            <w:r>
              <w:rPr>
                <w:color w:val="181717"/>
                <w:sz w:val="20"/>
              </w:rPr>
              <w:t xml:space="preserve">students can use the data to determine </w:t>
            </w:r>
          </w:p>
          <w:p w:rsidR="00133206" w:rsidRDefault="008E4734" w:rsidP="00F04FCE">
            <w:pPr>
              <w:ind w:left="31" w:hanging="31"/>
            </w:pPr>
            <w:r>
              <w:rPr>
                <w:color w:val="181717"/>
                <w:sz w:val="20"/>
              </w:rPr>
              <w:t xml:space="preserve">student strengths and areas of improvement. </w:t>
            </w:r>
          </w:p>
          <w:p w:rsidR="00133206" w:rsidRDefault="008E4734" w:rsidP="00F04FCE">
            <w:pPr>
              <w:ind w:left="31" w:hanging="31"/>
            </w:pPr>
            <w:r>
              <w:rPr>
                <w:color w:val="181717"/>
                <w:sz w:val="20"/>
              </w:rPr>
              <w:t xml:space="preserve">The school uses the data for instructional improvement and curriculum guidance. </w:t>
            </w:r>
          </w:p>
        </w:tc>
        <w:tc>
          <w:tcPr>
            <w:tcW w:w="1622" w:type="dxa"/>
            <w:tcBorders>
              <w:top w:val="single" w:sz="4" w:space="0" w:color="181717"/>
              <w:left w:val="single" w:sz="4" w:space="0" w:color="181717"/>
              <w:bottom w:val="single" w:sz="4" w:space="0" w:color="181717"/>
              <w:right w:val="single" w:sz="4" w:space="0" w:color="181717"/>
            </w:tcBorders>
          </w:tcPr>
          <w:p w:rsidR="00133206" w:rsidRDefault="005911F1">
            <w:pPr>
              <w:spacing w:line="237" w:lineRule="auto"/>
              <w:ind w:left="264" w:hanging="24"/>
              <w:jc w:val="both"/>
            </w:pPr>
            <w:r>
              <w:rPr>
                <w:color w:val="181717"/>
                <w:sz w:val="20"/>
              </w:rPr>
              <w:t xml:space="preserve">End of each </w:t>
            </w:r>
          </w:p>
          <w:p w:rsidR="00133206" w:rsidRDefault="008E4734">
            <w:pPr>
              <w:jc w:val="center"/>
            </w:pPr>
            <w:r>
              <w:rPr>
                <w:color w:val="181717"/>
                <w:sz w:val="20"/>
              </w:rPr>
              <w:t xml:space="preserve">course per the testing schedule. </w:t>
            </w:r>
          </w:p>
        </w:tc>
      </w:tr>
      <w:tr w:rsidR="00133206">
        <w:trPr>
          <w:trHeight w:val="2952"/>
        </w:trPr>
        <w:tc>
          <w:tcPr>
            <w:tcW w:w="1747"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right="80"/>
              <w:jc w:val="right"/>
            </w:pPr>
            <w:r>
              <w:rPr>
                <w:color w:val="181717"/>
                <w:sz w:val="20"/>
              </w:rPr>
              <w:t xml:space="preserve">Study Island </w:t>
            </w:r>
          </w:p>
        </w:tc>
        <w:tc>
          <w:tcPr>
            <w:tcW w:w="1142"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line="239" w:lineRule="auto"/>
            </w:pPr>
            <w:r>
              <w:rPr>
                <w:color w:val="181717"/>
                <w:sz w:val="20"/>
              </w:rPr>
              <w:t>Students grades 9-</w:t>
            </w:r>
          </w:p>
          <w:p w:rsidR="00133206" w:rsidRDefault="008E4734" w:rsidP="00F04FCE">
            <w:pPr>
              <w:spacing w:line="239" w:lineRule="auto"/>
              <w:ind w:left="19" w:right="21"/>
            </w:pPr>
            <w:r>
              <w:rPr>
                <w:color w:val="181717"/>
                <w:sz w:val="20"/>
              </w:rPr>
              <w:t xml:space="preserve">12 enrolled in </w:t>
            </w:r>
          </w:p>
          <w:p w:rsidR="00133206" w:rsidRDefault="008E4734" w:rsidP="00F04FCE">
            <w:pPr>
              <w:spacing w:after="158" w:line="236" w:lineRule="auto"/>
              <w:ind w:left="19"/>
            </w:pPr>
            <w:r>
              <w:rPr>
                <w:color w:val="231F20"/>
                <w:sz w:val="20"/>
              </w:rPr>
              <w:t>or plan to enroll in</w:t>
            </w:r>
          </w:p>
          <w:p w:rsidR="00133206" w:rsidRDefault="008E4734" w:rsidP="00F04FCE">
            <w:pPr>
              <w:ind w:left="5"/>
            </w:pPr>
            <w:r>
              <w:rPr>
                <w:color w:val="181717"/>
                <w:sz w:val="20"/>
              </w:rPr>
              <w:t>Math</w:t>
            </w:r>
            <w:r w:rsidR="005911F1">
              <w:rPr>
                <w:color w:val="181717"/>
                <w:sz w:val="20"/>
              </w:rPr>
              <w:t xml:space="preserve"> Alg</w:t>
            </w:r>
            <w:proofErr w:type="gramStart"/>
            <w:r w:rsidR="005911F1">
              <w:rPr>
                <w:color w:val="181717"/>
                <w:sz w:val="20"/>
              </w:rPr>
              <w:t>1,Alg</w:t>
            </w:r>
            <w:proofErr w:type="gramEnd"/>
            <w:r w:rsidR="005911F1">
              <w:rPr>
                <w:color w:val="181717"/>
                <w:sz w:val="20"/>
              </w:rPr>
              <w:t>2,Geom1</w:t>
            </w:r>
            <w:r>
              <w:rPr>
                <w:color w:val="181717"/>
                <w:sz w:val="20"/>
              </w:rPr>
              <w:t xml:space="preserve"> or </w:t>
            </w:r>
          </w:p>
          <w:p w:rsidR="00133206" w:rsidRDefault="008E4734" w:rsidP="00F04FCE">
            <w:pPr>
              <w:ind w:left="5"/>
            </w:pPr>
            <w:r>
              <w:rPr>
                <w:color w:val="181717"/>
                <w:sz w:val="20"/>
              </w:rPr>
              <w:t>ELA</w:t>
            </w:r>
            <w:r w:rsidR="005911F1">
              <w:rPr>
                <w:color w:val="181717"/>
                <w:sz w:val="20"/>
              </w:rPr>
              <w:t xml:space="preserve"> 9,10,11</w:t>
            </w:r>
            <w:r>
              <w:rPr>
                <w:color w:val="181717"/>
                <w:sz w:val="20"/>
              </w:rPr>
              <w:t xml:space="preserve">, </w:t>
            </w:r>
          </w:p>
        </w:tc>
        <w:tc>
          <w:tcPr>
            <w:tcW w:w="1248"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left="53"/>
            </w:pPr>
            <w:r>
              <w:rPr>
                <w:color w:val="181717"/>
                <w:sz w:val="20"/>
              </w:rPr>
              <w:t xml:space="preserve">Benchmark </w:t>
            </w:r>
          </w:p>
        </w:tc>
        <w:tc>
          <w:tcPr>
            <w:tcW w:w="3686"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line="238" w:lineRule="auto"/>
              <w:ind w:left="345" w:hanging="2"/>
            </w:pPr>
            <w:r>
              <w:rPr>
                <w:color w:val="181717"/>
                <w:sz w:val="20"/>
              </w:rPr>
              <w:t xml:space="preserve">Benchmarks students on all state standards allowing the teacher to </w:t>
            </w:r>
          </w:p>
          <w:p w:rsidR="00133206" w:rsidRDefault="008E4734" w:rsidP="00F04FCE">
            <w:pPr>
              <w:ind w:right="81"/>
            </w:pPr>
            <w:r>
              <w:rPr>
                <w:color w:val="181717"/>
                <w:sz w:val="20"/>
              </w:rPr>
              <w:t xml:space="preserve">determine course path, necessary </w:t>
            </w:r>
          </w:p>
          <w:p w:rsidR="00133206" w:rsidRDefault="008E4734" w:rsidP="00F04FCE">
            <w:pPr>
              <w:ind w:left="42" w:right="78"/>
            </w:pPr>
            <w:r>
              <w:rPr>
                <w:color w:val="181717"/>
                <w:sz w:val="20"/>
              </w:rPr>
              <w:t xml:space="preserve">interventions, student growth and course effectiveness. </w:t>
            </w:r>
          </w:p>
        </w:tc>
        <w:tc>
          <w:tcPr>
            <w:tcW w:w="3960"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line="238" w:lineRule="auto"/>
              <w:ind w:left="31" w:hanging="31"/>
            </w:pPr>
            <w:r>
              <w:rPr>
                <w:color w:val="181717"/>
                <w:sz w:val="20"/>
              </w:rPr>
              <w:t xml:space="preserve">To gain information that will help guide instruction by providing support to </w:t>
            </w:r>
          </w:p>
          <w:p w:rsidR="00133206" w:rsidRDefault="008E4734" w:rsidP="00F04FCE">
            <w:pPr>
              <w:spacing w:after="487" w:line="238" w:lineRule="auto"/>
              <w:ind w:left="31" w:right="165" w:hanging="31"/>
            </w:pPr>
            <w:r>
              <w:rPr>
                <w:color w:val="181717"/>
                <w:sz w:val="20"/>
              </w:rPr>
              <w:t xml:space="preserve">students and teachers.  Results are shared with students and parents to allow for a more individualized learning path. </w:t>
            </w:r>
          </w:p>
          <w:p w:rsidR="00133206" w:rsidRDefault="008E4734" w:rsidP="00F04FCE">
            <w:pPr>
              <w:ind w:left="31" w:hanging="31"/>
            </w:pPr>
            <w:r>
              <w:rPr>
                <w:color w:val="181717"/>
                <w:sz w:val="20"/>
              </w:rPr>
              <w:t xml:space="preserve">To assess if students have mastered state standards required for </w:t>
            </w:r>
            <w:proofErr w:type="spellStart"/>
            <w:r>
              <w:rPr>
                <w:color w:val="181717"/>
                <w:sz w:val="20"/>
              </w:rPr>
              <w:t>AZMerit</w:t>
            </w:r>
            <w:proofErr w:type="spellEnd"/>
            <w:r>
              <w:rPr>
                <w:color w:val="181717"/>
                <w:sz w:val="20"/>
              </w:rPr>
              <w:t xml:space="preserve"> test. </w:t>
            </w:r>
          </w:p>
        </w:tc>
        <w:tc>
          <w:tcPr>
            <w:tcW w:w="1622" w:type="dxa"/>
            <w:tcBorders>
              <w:top w:val="single" w:sz="4" w:space="0" w:color="181717"/>
              <w:left w:val="single" w:sz="4" w:space="0" w:color="181717"/>
              <w:bottom w:val="single" w:sz="4" w:space="0" w:color="181717"/>
              <w:right w:val="single" w:sz="4" w:space="0" w:color="181717"/>
            </w:tcBorders>
          </w:tcPr>
          <w:p w:rsidR="00133206" w:rsidRDefault="008E4734">
            <w:pPr>
              <w:ind w:right="43"/>
              <w:jc w:val="center"/>
            </w:pPr>
            <w:r>
              <w:rPr>
                <w:color w:val="181717"/>
                <w:sz w:val="20"/>
              </w:rPr>
              <w:t>December</w:t>
            </w:r>
          </w:p>
          <w:p w:rsidR="00133206" w:rsidRDefault="008E4734">
            <w:pPr>
              <w:ind w:left="160" w:right="203"/>
              <w:jc w:val="center"/>
            </w:pPr>
            <w:r>
              <w:rPr>
                <w:color w:val="181717"/>
                <w:sz w:val="20"/>
              </w:rPr>
              <w:t>February June</w:t>
            </w:r>
          </w:p>
        </w:tc>
      </w:tr>
      <w:tr w:rsidR="00133206">
        <w:trPr>
          <w:trHeight w:val="1622"/>
        </w:trPr>
        <w:tc>
          <w:tcPr>
            <w:tcW w:w="1747"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right="47"/>
              <w:jc w:val="center"/>
            </w:pPr>
            <w:r>
              <w:rPr>
                <w:color w:val="181717"/>
                <w:sz w:val="20"/>
              </w:rPr>
              <w:t xml:space="preserve">PSAT/SAT/ACT </w:t>
            </w:r>
          </w:p>
        </w:tc>
        <w:tc>
          <w:tcPr>
            <w:tcW w:w="1142" w:type="dxa"/>
            <w:tcBorders>
              <w:top w:val="single" w:sz="4" w:space="0" w:color="181717"/>
              <w:left w:val="single" w:sz="4" w:space="0" w:color="181717"/>
              <w:bottom w:val="single" w:sz="4" w:space="0" w:color="181717"/>
              <w:right w:val="single" w:sz="4" w:space="0" w:color="181717"/>
            </w:tcBorders>
            <w:vAlign w:val="center"/>
          </w:tcPr>
          <w:p w:rsidR="00133206" w:rsidRDefault="008E4734" w:rsidP="00F04FCE">
            <w:pPr>
              <w:spacing w:line="239" w:lineRule="auto"/>
            </w:pPr>
            <w:r>
              <w:rPr>
                <w:color w:val="181717"/>
                <w:sz w:val="20"/>
              </w:rPr>
              <w:t xml:space="preserve">All interested </w:t>
            </w:r>
          </w:p>
          <w:p w:rsidR="00133206" w:rsidRDefault="008E4734" w:rsidP="00F04FCE">
            <w:r>
              <w:rPr>
                <w:color w:val="181717"/>
                <w:sz w:val="20"/>
              </w:rPr>
              <w:t xml:space="preserve">high school students </w:t>
            </w:r>
          </w:p>
        </w:tc>
        <w:tc>
          <w:tcPr>
            <w:tcW w:w="1248"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left="53"/>
            </w:pPr>
            <w:r>
              <w:rPr>
                <w:color w:val="181717"/>
                <w:sz w:val="20"/>
              </w:rPr>
              <w:t xml:space="preserve">Summative </w:t>
            </w:r>
          </w:p>
        </w:tc>
        <w:tc>
          <w:tcPr>
            <w:tcW w:w="3686" w:type="dxa"/>
            <w:tcBorders>
              <w:top w:val="single" w:sz="4" w:space="0" w:color="181717"/>
              <w:left w:val="single" w:sz="4" w:space="0" w:color="181717"/>
              <w:bottom w:val="single" w:sz="4" w:space="0" w:color="181717"/>
              <w:right w:val="single" w:sz="4" w:space="0" w:color="181717"/>
            </w:tcBorders>
            <w:vAlign w:val="center"/>
          </w:tcPr>
          <w:p w:rsidR="00133206" w:rsidRDefault="008E4734" w:rsidP="00F04FCE">
            <w:r>
              <w:rPr>
                <w:color w:val="181717"/>
              </w:rPr>
              <w:t>Norm-referenced national standardized assessment that focuses on knowledge and skills in reading and mathematics.</w:t>
            </w:r>
            <w:r>
              <w:rPr>
                <w:color w:val="181717"/>
                <w:sz w:val="20"/>
              </w:rPr>
              <w:t xml:space="preserve"> </w:t>
            </w:r>
          </w:p>
        </w:tc>
        <w:tc>
          <w:tcPr>
            <w:tcW w:w="3960"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line="239" w:lineRule="auto"/>
            </w:pPr>
            <w:r>
              <w:rPr>
                <w:color w:val="181717"/>
              </w:rPr>
              <w:t xml:space="preserve">Assessments of college readiness for students who are considering a career pathway requiring post-secondary </w:t>
            </w:r>
          </w:p>
          <w:p w:rsidR="00133206" w:rsidRDefault="008E4734" w:rsidP="00F04FCE">
            <w:r>
              <w:rPr>
                <w:color w:val="181717"/>
              </w:rPr>
              <w:t>education. Provides data on students’ ability in mathematics and critical reading skills.</w:t>
            </w:r>
            <w:r>
              <w:rPr>
                <w:color w:val="181717"/>
                <w:sz w:val="20"/>
              </w:rPr>
              <w:t xml:space="preserve"> </w:t>
            </w:r>
            <w:proofErr w:type="spellStart"/>
            <w:r w:rsidR="00D76D2F">
              <w:rPr>
                <w:color w:val="181717"/>
                <w:sz w:val="20"/>
              </w:rPr>
              <w:t>PreSAT</w:t>
            </w:r>
            <w:proofErr w:type="spellEnd"/>
            <w:r w:rsidR="00D76D2F">
              <w:rPr>
                <w:color w:val="181717"/>
                <w:sz w:val="20"/>
              </w:rPr>
              <w:t xml:space="preserve"> test</w:t>
            </w:r>
            <w:r w:rsidR="006A1B38">
              <w:rPr>
                <w:color w:val="181717"/>
                <w:sz w:val="20"/>
              </w:rPr>
              <w:t xml:space="preserve"> </w:t>
            </w:r>
            <w:bookmarkStart w:id="0" w:name="_GoBack"/>
            <w:bookmarkEnd w:id="0"/>
            <w:r w:rsidR="00D76D2F">
              <w:rPr>
                <w:color w:val="181717"/>
                <w:sz w:val="20"/>
              </w:rPr>
              <w:t>is a summative benchmark for our school to utilize as a data triangulation tool.</w:t>
            </w:r>
          </w:p>
        </w:tc>
        <w:tc>
          <w:tcPr>
            <w:tcW w:w="1622" w:type="dxa"/>
            <w:tcBorders>
              <w:top w:val="single" w:sz="4" w:space="0" w:color="181717"/>
              <w:left w:val="single" w:sz="4" w:space="0" w:color="181717"/>
              <w:bottom w:val="single" w:sz="4" w:space="0" w:color="181717"/>
              <w:right w:val="single" w:sz="4" w:space="0" w:color="181717"/>
            </w:tcBorders>
            <w:vAlign w:val="center"/>
          </w:tcPr>
          <w:p w:rsidR="00133206" w:rsidRDefault="008E4734">
            <w:pPr>
              <w:ind w:left="11" w:right="14"/>
              <w:jc w:val="center"/>
            </w:pPr>
            <w:r>
              <w:rPr>
                <w:color w:val="181717"/>
                <w:sz w:val="20"/>
              </w:rPr>
              <w:t xml:space="preserve">Per college board schedules at approved locations </w:t>
            </w:r>
          </w:p>
        </w:tc>
      </w:tr>
    </w:tbl>
    <w:p w:rsidR="00133206" w:rsidRDefault="00133206">
      <w:pPr>
        <w:spacing w:after="0"/>
        <w:ind w:left="-1440" w:right="14400"/>
      </w:pPr>
    </w:p>
    <w:tbl>
      <w:tblPr>
        <w:tblStyle w:val="TableGrid"/>
        <w:tblW w:w="13406" w:type="dxa"/>
        <w:tblInd w:w="5" w:type="dxa"/>
        <w:tblCellMar>
          <w:top w:w="101" w:type="dxa"/>
          <w:left w:w="16" w:type="dxa"/>
          <w:bottom w:w="52" w:type="dxa"/>
          <w:right w:w="51" w:type="dxa"/>
        </w:tblCellMar>
        <w:tblLook w:val="04A0" w:firstRow="1" w:lastRow="0" w:firstColumn="1" w:lastColumn="0" w:noHBand="0" w:noVBand="1"/>
      </w:tblPr>
      <w:tblGrid>
        <w:gridCol w:w="1748"/>
        <w:gridCol w:w="1142"/>
        <w:gridCol w:w="1248"/>
        <w:gridCol w:w="3686"/>
        <w:gridCol w:w="3960"/>
        <w:gridCol w:w="1622"/>
      </w:tblGrid>
      <w:tr w:rsidR="00133206">
        <w:trPr>
          <w:trHeight w:val="1718"/>
        </w:trPr>
        <w:tc>
          <w:tcPr>
            <w:tcW w:w="1747" w:type="dxa"/>
            <w:tcBorders>
              <w:top w:val="single" w:sz="4" w:space="0" w:color="181717"/>
              <w:left w:val="single" w:sz="4" w:space="0" w:color="181717"/>
              <w:bottom w:val="single" w:sz="4" w:space="0" w:color="181717"/>
              <w:right w:val="single" w:sz="4" w:space="0" w:color="181717"/>
            </w:tcBorders>
          </w:tcPr>
          <w:p w:rsidR="00133206" w:rsidRDefault="008E4734">
            <w:pPr>
              <w:ind w:left="123"/>
            </w:pPr>
            <w:r>
              <w:rPr>
                <w:color w:val="181717"/>
                <w:sz w:val="20"/>
              </w:rPr>
              <w:lastRenderedPageBreak/>
              <w:t>Course Review Tests</w:t>
            </w:r>
          </w:p>
        </w:tc>
        <w:tc>
          <w:tcPr>
            <w:tcW w:w="1142"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after="78"/>
              <w:ind w:left="351"/>
              <w:jc w:val="both"/>
            </w:pPr>
            <w:r>
              <w:rPr>
                <w:color w:val="181717"/>
                <w:sz w:val="20"/>
              </w:rPr>
              <w:t xml:space="preserve">All </w:t>
            </w:r>
          </w:p>
          <w:p w:rsidR="00133206" w:rsidRDefault="008E4734" w:rsidP="00F04FCE">
            <w:pPr>
              <w:ind w:left="96" w:right="34" w:firstLine="5"/>
              <w:jc w:val="both"/>
            </w:pPr>
            <w:r>
              <w:rPr>
                <w:color w:val="181717"/>
                <w:sz w:val="20"/>
              </w:rPr>
              <w:t xml:space="preserve">students all grades </w:t>
            </w:r>
          </w:p>
        </w:tc>
        <w:tc>
          <w:tcPr>
            <w:tcW w:w="1248" w:type="dxa"/>
            <w:tcBorders>
              <w:top w:val="single" w:sz="4" w:space="0" w:color="181717"/>
              <w:left w:val="single" w:sz="4" w:space="0" w:color="181717"/>
              <w:bottom w:val="single" w:sz="4" w:space="0" w:color="181717"/>
              <w:right w:val="single" w:sz="4" w:space="0" w:color="181717"/>
            </w:tcBorders>
          </w:tcPr>
          <w:p w:rsidR="00133206" w:rsidRDefault="008E4734">
            <w:pPr>
              <w:ind w:left="109"/>
            </w:pPr>
            <w:r>
              <w:rPr>
                <w:color w:val="181717"/>
                <w:sz w:val="20"/>
              </w:rPr>
              <w:t xml:space="preserve">Formative/ </w:t>
            </w:r>
          </w:p>
        </w:tc>
        <w:tc>
          <w:tcPr>
            <w:tcW w:w="3686" w:type="dxa"/>
            <w:tcBorders>
              <w:top w:val="single" w:sz="4" w:space="0" w:color="181717"/>
              <w:left w:val="single" w:sz="4" w:space="0" w:color="181717"/>
              <w:bottom w:val="single" w:sz="4" w:space="0" w:color="181717"/>
              <w:right w:val="single" w:sz="4" w:space="0" w:color="181717"/>
            </w:tcBorders>
          </w:tcPr>
          <w:p w:rsidR="00133206" w:rsidRDefault="008E4734" w:rsidP="00F04FCE">
            <w:pPr>
              <w:ind w:left="151" w:right="245"/>
              <w:jc w:val="both"/>
            </w:pPr>
            <w:r>
              <w:rPr>
                <w:color w:val="181717"/>
              </w:rPr>
              <w:t xml:space="preserve"> Vendor supplied assessments that assess understanding of concepts and competencies covered in units of study. </w:t>
            </w:r>
          </w:p>
        </w:tc>
        <w:tc>
          <w:tcPr>
            <w:tcW w:w="3960" w:type="dxa"/>
            <w:tcBorders>
              <w:top w:val="single" w:sz="4" w:space="0" w:color="181717"/>
              <w:left w:val="single" w:sz="4" w:space="0" w:color="181717"/>
              <w:bottom w:val="single" w:sz="4" w:space="0" w:color="181717"/>
              <w:right w:val="single" w:sz="4" w:space="0" w:color="181717"/>
            </w:tcBorders>
          </w:tcPr>
          <w:p w:rsidR="00133206" w:rsidRDefault="008E4734" w:rsidP="00F04FCE">
            <w:pPr>
              <w:spacing w:line="239" w:lineRule="auto"/>
              <w:ind w:left="60" w:firstLine="16"/>
            </w:pPr>
            <w:r>
              <w:rPr>
                <w:color w:val="181717"/>
              </w:rPr>
              <w:t xml:space="preserve">The purpose is to analyze student work and understanding of concepts and skills, providing teacher real-time data to adjust teaching and learning process. </w:t>
            </w:r>
          </w:p>
        </w:tc>
        <w:tc>
          <w:tcPr>
            <w:tcW w:w="1622" w:type="dxa"/>
            <w:tcBorders>
              <w:top w:val="single" w:sz="4" w:space="0" w:color="181717"/>
              <w:left w:val="single" w:sz="4" w:space="0" w:color="181717"/>
              <w:bottom w:val="single" w:sz="4" w:space="0" w:color="181717"/>
              <w:right w:val="single" w:sz="4" w:space="0" w:color="181717"/>
            </w:tcBorders>
          </w:tcPr>
          <w:p w:rsidR="00133206" w:rsidRDefault="008E4734">
            <w:pPr>
              <w:ind w:left="83"/>
            </w:pPr>
            <w:r>
              <w:rPr>
                <w:color w:val="181717"/>
                <w:sz w:val="20"/>
              </w:rPr>
              <w:t xml:space="preserve">After completion </w:t>
            </w:r>
          </w:p>
          <w:p w:rsidR="00133206" w:rsidRDefault="008E4734">
            <w:pPr>
              <w:ind w:left="83"/>
            </w:pPr>
            <w:r>
              <w:rPr>
                <w:color w:val="181717"/>
                <w:sz w:val="20"/>
              </w:rPr>
              <w:t>of 4 -5 lessons in each course</w:t>
            </w:r>
          </w:p>
        </w:tc>
      </w:tr>
      <w:tr w:rsidR="00133206">
        <w:trPr>
          <w:trHeight w:val="1234"/>
        </w:trPr>
        <w:tc>
          <w:tcPr>
            <w:tcW w:w="1747" w:type="dxa"/>
            <w:tcBorders>
              <w:top w:val="single" w:sz="4" w:space="0" w:color="181717"/>
              <w:left w:val="single" w:sz="4" w:space="0" w:color="181717"/>
              <w:bottom w:val="single" w:sz="4" w:space="0" w:color="181717"/>
              <w:right w:val="single" w:sz="4" w:space="0" w:color="181717"/>
            </w:tcBorders>
          </w:tcPr>
          <w:p w:rsidR="00133206" w:rsidRDefault="008E4734">
            <w:pPr>
              <w:ind w:right="41"/>
              <w:jc w:val="center"/>
            </w:pPr>
            <w:r>
              <w:rPr>
                <w:color w:val="181717"/>
                <w:sz w:val="20"/>
              </w:rPr>
              <w:t xml:space="preserve">Course  </w:t>
            </w:r>
          </w:p>
          <w:p w:rsidR="00133206" w:rsidRDefault="008E4734">
            <w:pPr>
              <w:ind w:left="611" w:hanging="304"/>
            </w:pPr>
            <w:r>
              <w:rPr>
                <w:color w:val="181717"/>
                <w:sz w:val="20"/>
              </w:rPr>
              <w:t>Assessments (A/B)</w:t>
            </w:r>
          </w:p>
        </w:tc>
        <w:tc>
          <w:tcPr>
            <w:tcW w:w="1142" w:type="dxa"/>
            <w:tcBorders>
              <w:top w:val="single" w:sz="4" w:space="0" w:color="181717"/>
              <w:left w:val="single" w:sz="4" w:space="0" w:color="181717"/>
              <w:bottom w:val="single" w:sz="4" w:space="0" w:color="181717"/>
              <w:right w:val="single" w:sz="4" w:space="0" w:color="181717"/>
            </w:tcBorders>
          </w:tcPr>
          <w:p w:rsidR="00133206" w:rsidRDefault="008E4734" w:rsidP="00F04FCE">
            <w:pPr>
              <w:ind w:left="108"/>
              <w:jc w:val="both"/>
            </w:pPr>
            <w:r>
              <w:rPr>
                <w:color w:val="181717"/>
                <w:sz w:val="20"/>
              </w:rPr>
              <w:t xml:space="preserve">All Grades </w:t>
            </w:r>
          </w:p>
        </w:tc>
        <w:tc>
          <w:tcPr>
            <w:tcW w:w="1248" w:type="dxa"/>
            <w:tcBorders>
              <w:top w:val="single" w:sz="4" w:space="0" w:color="181717"/>
              <w:left w:val="single" w:sz="4" w:space="0" w:color="181717"/>
              <w:bottom w:val="single" w:sz="4" w:space="0" w:color="181717"/>
              <w:right w:val="single" w:sz="4" w:space="0" w:color="181717"/>
            </w:tcBorders>
          </w:tcPr>
          <w:p w:rsidR="00133206" w:rsidRDefault="008E4734">
            <w:pPr>
              <w:ind w:left="59"/>
            </w:pPr>
            <w:r>
              <w:rPr>
                <w:color w:val="181717"/>
                <w:sz w:val="20"/>
              </w:rPr>
              <w:t xml:space="preserve">Formative/ Summative </w:t>
            </w:r>
          </w:p>
        </w:tc>
        <w:tc>
          <w:tcPr>
            <w:tcW w:w="3686" w:type="dxa"/>
            <w:tcBorders>
              <w:top w:val="single" w:sz="4" w:space="0" w:color="181717"/>
              <w:left w:val="single" w:sz="4" w:space="0" w:color="181717"/>
              <w:bottom w:val="single" w:sz="4" w:space="0" w:color="181717"/>
              <w:right w:val="single" w:sz="4" w:space="0" w:color="181717"/>
            </w:tcBorders>
          </w:tcPr>
          <w:p w:rsidR="00133206" w:rsidRDefault="008E4734" w:rsidP="00F04FCE">
            <w:pPr>
              <w:ind w:left="151"/>
            </w:pPr>
            <w:r>
              <w:rPr>
                <w:color w:val="181717"/>
              </w:rPr>
              <w:t>Evaluate student learning, skill acquisition, and academic achievement at the conclusion of a course</w:t>
            </w:r>
          </w:p>
        </w:tc>
        <w:tc>
          <w:tcPr>
            <w:tcW w:w="3960" w:type="dxa"/>
            <w:tcBorders>
              <w:top w:val="single" w:sz="4" w:space="0" w:color="181717"/>
              <w:left w:val="single" w:sz="4" w:space="0" w:color="181717"/>
              <w:bottom w:val="single" w:sz="4" w:space="0" w:color="181717"/>
              <w:right w:val="single" w:sz="4" w:space="0" w:color="181717"/>
            </w:tcBorders>
            <w:vAlign w:val="bottom"/>
          </w:tcPr>
          <w:p w:rsidR="00133206" w:rsidRDefault="008E4734" w:rsidP="00F04FCE">
            <w:pPr>
              <w:ind w:left="158" w:firstLine="16"/>
            </w:pPr>
            <w:r>
              <w:rPr>
                <w:color w:val="181717"/>
              </w:rPr>
              <w:t xml:space="preserve">To assess the level of mastery and proficiency in understanding core concepts and competencies covered in instruction. </w:t>
            </w:r>
          </w:p>
        </w:tc>
        <w:tc>
          <w:tcPr>
            <w:tcW w:w="1622" w:type="dxa"/>
            <w:tcBorders>
              <w:top w:val="single" w:sz="4" w:space="0" w:color="181717"/>
              <w:left w:val="single" w:sz="4" w:space="0" w:color="181717"/>
              <w:bottom w:val="single" w:sz="4" w:space="0" w:color="181717"/>
              <w:right w:val="single" w:sz="4" w:space="0" w:color="181717"/>
            </w:tcBorders>
          </w:tcPr>
          <w:p w:rsidR="00133206" w:rsidRDefault="005911F1">
            <w:pPr>
              <w:ind w:left="69" w:right="20"/>
            </w:pPr>
            <w:r>
              <w:rPr>
                <w:color w:val="181717"/>
                <w:sz w:val="20"/>
              </w:rPr>
              <w:t>Gi</w:t>
            </w:r>
            <w:r w:rsidR="008E4734">
              <w:rPr>
                <w:color w:val="181717"/>
                <w:sz w:val="20"/>
              </w:rPr>
              <w:t>ven at the start and at the end of a course</w:t>
            </w:r>
          </w:p>
        </w:tc>
      </w:tr>
    </w:tbl>
    <w:p w:rsidR="005911F1" w:rsidRDefault="005911F1">
      <w:r>
        <w:t>Administrators add all data to the STUDENT SUMMATIVE DATA 2018-19 Excel Spreadsheet</w:t>
      </w:r>
      <w:r w:rsidR="003F2966">
        <w:t>.</w:t>
      </w:r>
    </w:p>
    <w:p w:rsidR="003F2966" w:rsidRDefault="003F2966" w:rsidP="003F2966">
      <w:pPr>
        <w:pStyle w:val="ListParagraph"/>
        <w:numPr>
          <w:ilvl w:val="0"/>
          <w:numId w:val="1"/>
        </w:numPr>
      </w:pPr>
      <w:r>
        <w:t>Data must be compiled three times a year prior to Data Meeting by Director of Education</w:t>
      </w:r>
    </w:p>
    <w:p w:rsidR="003F2966" w:rsidRDefault="003F2966" w:rsidP="003F2966">
      <w:pPr>
        <w:pStyle w:val="ListParagraph"/>
        <w:numPr>
          <w:ilvl w:val="0"/>
          <w:numId w:val="2"/>
        </w:numPr>
      </w:pPr>
      <w:r>
        <w:t>Fall Dec 20</w:t>
      </w:r>
      <w:r w:rsidRPr="003F2966">
        <w:rPr>
          <w:vertAlign w:val="superscript"/>
        </w:rPr>
        <w:t>st</w:t>
      </w:r>
      <w:r>
        <w:t>.  (To prepare for Admin Data meeting on Dec 21</w:t>
      </w:r>
      <w:r w:rsidRPr="003F2966">
        <w:rPr>
          <w:vertAlign w:val="superscript"/>
        </w:rPr>
        <w:t>st</w:t>
      </w:r>
      <w:r>
        <w:t>) (Teacher Meeting Jan 7</w:t>
      </w:r>
      <w:r w:rsidRPr="003F2966">
        <w:rPr>
          <w:vertAlign w:val="superscript"/>
        </w:rPr>
        <w:t>th</w:t>
      </w:r>
      <w:r>
        <w:t>)</w:t>
      </w:r>
    </w:p>
    <w:p w:rsidR="003F2966" w:rsidRDefault="003F2966" w:rsidP="003F2966">
      <w:pPr>
        <w:pStyle w:val="ListParagraph"/>
        <w:numPr>
          <w:ilvl w:val="0"/>
          <w:numId w:val="2"/>
        </w:numPr>
      </w:pPr>
      <w:r>
        <w:t>Spring May 3</w:t>
      </w:r>
      <w:r w:rsidRPr="003F2966">
        <w:rPr>
          <w:vertAlign w:val="superscript"/>
        </w:rPr>
        <w:t>rd</w:t>
      </w:r>
      <w:r>
        <w:t xml:space="preserve"> (To Prepare for Admin Data Meeting on May 6</w:t>
      </w:r>
      <w:r w:rsidRPr="003F2966">
        <w:rPr>
          <w:vertAlign w:val="superscript"/>
        </w:rPr>
        <w:t>th</w:t>
      </w:r>
      <w:r>
        <w:t>)</w:t>
      </w:r>
      <w:r w:rsidR="00EA5570">
        <w:t xml:space="preserve"> </w:t>
      </w:r>
      <w:r>
        <w:t>(Teacher Meeting May 7</w:t>
      </w:r>
      <w:r w:rsidRPr="003F2966">
        <w:rPr>
          <w:vertAlign w:val="superscript"/>
        </w:rPr>
        <w:t>th</w:t>
      </w:r>
      <w:r>
        <w:t>)</w:t>
      </w:r>
    </w:p>
    <w:p w:rsidR="00EA5570" w:rsidRDefault="00EA5570" w:rsidP="003F2966">
      <w:pPr>
        <w:pStyle w:val="ListParagraph"/>
        <w:numPr>
          <w:ilvl w:val="0"/>
          <w:numId w:val="2"/>
        </w:numPr>
      </w:pPr>
      <w:r>
        <w:t>Summer Aug30th (To Prepare for Admin Meeting on Sept 2</w:t>
      </w:r>
      <w:r w:rsidRPr="00EA5570">
        <w:rPr>
          <w:vertAlign w:val="superscript"/>
        </w:rPr>
        <w:t>th</w:t>
      </w:r>
      <w:r>
        <w:t>) (All Staff meeting Sept 3</w:t>
      </w:r>
      <w:r w:rsidRPr="00EA5570">
        <w:rPr>
          <w:vertAlign w:val="superscript"/>
        </w:rPr>
        <w:t>rd</w:t>
      </w:r>
      <w:r>
        <w:t xml:space="preserve">) </w:t>
      </w:r>
      <w:r w:rsidR="00A24C72">
        <w:t xml:space="preserve">Summer meeting is to Focus for new school year and new Curriculum/ Teaching methodologies to improve Summative scores. </w:t>
      </w:r>
      <w:r w:rsidR="00D76D2F">
        <w:t>PSAT scores will also be utilized for data triangulation.</w:t>
      </w:r>
    </w:p>
    <w:p w:rsidR="00EA5570" w:rsidRDefault="00A24C72" w:rsidP="00EA5570">
      <w:pPr>
        <w:pStyle w:val="ListParagraph"/>
        <w:numPr>
          <w:ilvl w:val="0"/>
          <w:numId w:val="1"/>
        </w:numPr>
      </w:pPr>
      <w:r>
        <w:t>Meeting with Admin to</w:t>
      </w:r>
      <w:r w:rsidR="00EA5570">
        <w:t xml:space="preserve"> compile and analyze school wide as well as individual student needs. Director of Education will have data reports ready prior to meeting showing the following:</w:t>
      </w:r>
    </w:p>
    <w:p w:rsidR="00EA5570" w:rsidRDefault="00EA5570" w:rsidP="00EA5570">
      <w:pPr>
        <w:pStyle w:val="ListParagraph"/>
        <w:numPr>
          <w:ilvl w:val="0"/>
          <w:numId w:val="5"/>
        </w:numPr>
        <w:tabs>
          <w:tab w:val="left" w:pos="936"/>
        </w:tabs>
      </w:pPr>
      <w:r>
        <w:t>School Wide n</w:t>
      </w:r>
      <w:r w:rsidR="00A24C72">
        <w:t>eeds assessment based on SI Benchm</w:t>
      </w:r>
      <w:r>
        <w:t>ark and A-B</w:t>
      </w:r>
    </w:p>
    <w:p w:rsidR="00EA5570" w:rsidRDefault="00EA5570" w:rsidP="00EA5570">
      <w:pPr>
        <w:pStyle w:val="ListParagraph"/>
        <w:numPr>
          <w:ilvl w:val="0"/>
          <w:numId w:val="5"/>
        </w:numPr>
        <w:tabs>
          <w:tab w:val="left" w:pos="936"/>
        </w:tabs>
      </w:pPr>
      <w:r>
        <w:t>School</w:t>
      </w:r>
      <w:r w:rsidR="00A24C72">
        <w:t xml:space="preserve"> Wide Gap report on </w:t>
      </w:r>
      <w:proofErr w:type="spellStart"/>
      <w:r w:rsidR="00A24C72">
        <w:t>AzMerit</w:t>
      </w:r>
      <w:proofErr w:type="spellEnd"/>
      <w:r w:rsidR="00A24C72">
        <w:t xml:space="preserve"> vs SI B</w:t>
      </w:r>
      <w:r>
        <w:t>ench</w:t>
      </w:r>
      <w:r w:rsidR="00A24C72">
        <w:t>mark</w:t>
      </w:r>
    </w:p>
    <w:p w:rsidR="00EA5570" w:rsidRDefault="00A24C72" w:rsidP="00093C8E">
      <w:pPr>
        <w:pStyle w:val="ListParagraph"/>
        <w:numPr>
          <w:ilvl w:val="0"/>
          <w:numId w:val="5"/>
        </w:numPr>
        <w:tabs>
          <w:tab w:val="left" w:pos="936"/>
        </w:tabs>
      </w:pPr>
      <w:r>
        <w:t>Individual Student needs by student grouping.  Math Group and ELA Grouping by Class.</w:t>
      </w:r>
    </w:p>
    <w:p w:rsidR="00A24C72" w:rsidRDefault="00A24C72" w:rsidP="00A24C72">
      <w:pPr>
        <w:pStyle w:val="ListParagraph"/>
        <w:numPr>
          <w:ilvl w:val="0"/>
          <w:numId w:val="1"/>
        </w:numPr>
        <w:tabs>
          <w:tab w:val="left" w:pos="936"/>
        </w:tabs>
      </w:pPr>
      <w:r>
        <w:t>Teacher meeting are designed to break students into groups by subject and individual student’s needs. Admin post data on school secure site. Teacher will be assigned groups of students for remediation using SI and Tutoring.</w:t>
      </w:r>
      <w:r w:rsidR="008E4734">
        <w:t xml:space="preserve"> Teacher will collaborate in their twice weekly meeting. EOPA will meet in person.  EOHS LC will Collaborate electronically and by Group calls.</w:t>
      </w:r>
    </w:p>
    <w:p w:rsidR="008E4734" w:rsidRDefault="008E4734" w:rsidP="008E4734">
      <w:pPr>
        <w:pStyle w:val="ListParagraph"/>
        <w:tabs>
          <w:tab w:val="left" w:pos="936"/>
        </w:tabs>
        <w:ind w:left="360"/>
      </w:pPr>
    </w:p>
    <w:p w:rsidR="00A24C72" w:rsidRDefault="00A24C72" w:rsidP="00A24C72">
      <w:pPr>
        <w:pStyle w:val="ListParagraph"/>
        <w:tabs>
          <w:tab w:val="left" w:pos="936"/>
        </w:tabs>
        <w:ind w:left="1440"/>
      </w:pPr>
    </w:p>
    <w:p w:rsidR="00A24C72" w:rsidRDefault="00A24C72" w:rsidP="00A24C72">
      <w:pPr>
        <w:pStyle w:val="ListParagraph"/>
        <w:tabs>
          <w:tab w:val="left" w:pos="936"/>
        </w:tabs>
        <w:ind w:left="1440"/>
      </w:pPr>
    </w:p>
    <w:p w:rsidR="00A24C72" w:rsidRDefault="00A24C72" w:rsidP="00A24C72">
      <w:pPr>
        <w:pStyle w:val="ListParagraph"/>
        <w:tabs>
          <w:tab w:val="left" w:pos="936"/>
        </w:tabs>
        <w:ind w:left="1440"/>
      </w:pPr>
    </w:p>
    <w:p w:rsidR="00EA5570" w:rsidRDefault="00EA5570" w:rsidP="00EA5570">
      <w:pPr>
        <w:pStyle w:val="ListParagraph"/>
      </w:pPr>
    </w:p>
    <w:sectPr w:rsidR="00EA5570">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508"/>
    <w:multiLevelType w:val="hybridMultilevel"/>
    <w:tmpl w:val="6978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D59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AA3B9D"/>
    <w:multiLevelType w:val="hybridMultilevel"/>
    <w:tmpl w:val="4BF0A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B77121"/>
    <w:multiLevelType w:val="hybridMultilevel"/>
    <w:tmpl w:val="92F2D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B7087F"/>
    <w:multiLevelType w:val="hybridMultilevel"/>
    <w:tmpl w:val="24482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7B1D19"/>
    <w:multiLevelType w:val="hybridMultilevel"/>
    <w:tmpl w:val="D8361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6DF1266"/>
    <w:multiLevelType w:val="hybridMultilevel"/>
    <w:tmpl w:val="1E0E81F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770A19D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06"/>
    <w:rsid w:val="00133206"/>
    <w:rsid w:val="00330933"/>
    <w:rsid w:val="003F2966"/>
    <w:rsid w:val="005911F1"/>
    <w:rsid w:val="006A1B38"/>
    <w:rsid w:val="008E4734"/>
    <w:rsid w:val="00A24C72"/>
    <w:rsid w:val="00D76D2F"/>
    <w:rsid w:val="00EA5570"/>
    <w:rsid w:val="00F0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349"/>
  <w15:docId w15:val="{53559DB1-1FCF-4F47-8282-EAED112D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2966"/>
    <w:pPr>
      <w:ind w:left="720"/>
      <w:contextualSpacing/>
    </w:pPr>
  </w:style>
  <w:style w:type="paragraph" w:styleId="BalloonText">
    <w:name w:val="Balloon Text"/>
    <w:basedOn w:val="Normal"/>
    <w:link w:val="BalloonTextChar"/>
    <w:uiPriority w:val="99"/>
    <w:semiHidden/>
    <w:unhideWhenUsed/>
    <w:rsid w:val="008E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FY18_Edkey, Inc. dba Sequoia Choice Schools_Arizona Distance Learning School_Five Year Interval Review Final Report (1).pdf</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FY18_Edkey, Inc. dba Sequoia Choice Schools_Arizona Distance Learning School_Five Year Interval Review Final Report (1).pdf</dc:title>
  <dc:subject/>
  <dc:creator>Chris McComb</dc:creator>
  <cp:keywords/>
  <cp:lastModifiedBy>jsawner</cp:lastModifiedBy>
  <cp:revision>2</cp:revision>
  <cp:lastPrinted>2018-12-05T18:05:00Z</cp:lastPrinted>
  <dcterms:created xsi:type="dcterms:W3CDTF">2018-12-06T14:42:00Z</dcterms:created>
  <dcterms:modified xsi:type="dcterms:W3CDTF">2018-12-06T14:42:00Z</dcterms:modified>
</cp:coreProperties>
</file>